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158" w:rsidRPr="00D62158" w:rsidRDefault="00D62158" w:rsidP="00D62158">
      <w:pPr>
        <w:ind w:left="0" w:firstLine="0"/>
        <w:jc w:val="center"/>
        <w:rPr>
          <w:b/>
          <w:noProof/>
          <w:lang w:val="sr-Cyrl-CS"/>
        </w:rPr>
      </w:pPr>
      <w:bookmarkStart w:id="0" w:name="_GoBack"/>
      <w:bookmarkEnd w:id="0"/>
      <w:r>
        <w:rPr>
          <w:b/>
          <w:noProof/>
          <w:lang w:val="sr-Cyrl-CS"/>
        </w:rPr>
        <w:t>ЗАКОН</w:t>
      </w:r>
    </w:p>
    <w:p w:rsidR="00D62158" w:rsidRPr="00D62158" w:rsidRDefault="00D62158" w:rsidP="00D62158">
      <w:pPr>
        <w:ind w:left="0" w:firstLine="0"/>
        <w:jc w:val="center"/>
        <w:rPr>
          <w:b/>
          <w:noProof/>
          <w:lang w:val="sr-Cyrl-CS"/>
        </w:rPr>
      </w:pPr>
      <w:r>
        <w:rPr>
          <w:b/>
          <w:noProof/>
          <w:lang w:val="sr-Cyrl-CS"/>
        </w:rPr>
        <w:t>О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ИЗМЈЕНАМА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И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ДОПУНАМА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ЗАКОНА</w:t>
      </w:r>
    </w:p>
    <w:p w:rsidR="00D62158" w:rsidRPr="00D62158" w:rsidRDefault="00D62158" w:rsidP="00D62158">
      <w:pPr>
        <w:ind w:left="0" w:firstLine="0"/>
        <w:jc w:val="center"/>
        <w:rPr>
          <w:b/>
          <w:noProof/>
          <w:lang w:val="sr-Cyrl-CS"/>
        </w:rPr>
      </w:pPr>
      <w:r>
        <w:rPr>
          <w:b/>
          <w:noProof/>
          <w:lang w:val="sr-Cyrl-CS"/>
        </w:rPr>
        <w:t>О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МЕТРОЛОГИЈИ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У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РЕПУБЛИЦИ</w:t>
      </w:r>
      <w:r w:rsidRPr="00D62158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СРПСКОЈ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bCs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1.</w:t>
      </w:r>
    </w:p>
    <w:p w:rsidR="00D62158" w:rsidRPr="00D62158" w:rsidRDefault="00D62158" w:rsidP="00D62158">
      <w:pPr>
        <w:ind w:left="0" w:firstLine="0"/>
        <w:jc w:val="center"/>
        <w:rPr>
          <w:rFonts w:eastAsia="Calibri"/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метрологији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Републици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Српској</w:t>
      </w:r>
      <w:r w:rsidRPr="00D62158">
        <w:rPr>
          <w:rFonts w:eastAsia="Calibri"/>
          <w:noProof/>
          <w:lang w:val="sr-Cyrl-CS"/>
        </w:rPr>
        <w:t xml:space="preserve"> („</w:t>
      </w:r>
      <w:r>
        <w:rPr>
          <w:rFonts w:eastAsia="Calibri"/>
          <w:noProof/>
          <w:lang w:val="sr-Cyrl-CS"/>
        </w:rPr>
        <w:t>Службени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гласник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D62158">
        <w:rPr>
          <w:rFonts w:eastAsia="Calibri"/>
          <w:noProof/>
          <w:lang w:val="sr-Cyrl-CS"/>
        </w:rPr>
        <w:t xml:space="preserve">“, </w:t>
      </w:r>
      <w:r>
        <w:rPr>
          <w:rFonts w:eastAsia="Calibri"/>
          <w:noProof/>
          <w:lang w:val="sr-Cyrl-CS"/>
        </w:rPr>
        <w:t>број</w:t>
      </w:r>
      <w:r w:rsidRPr="00D62158">
        <w:rPr>
          <w:rFonts w:eastAsia="Calibri"/>
          <w:noProof/>
          <w:lang w:val="sr-Cyrl-CS"/>
        </w:rPr>
        <w:t xml:space="preserve"> 33/16), </w:t>
      </w:r>
      <w:r>
        <w:rPr>
          <w:rFonts w:eastAsia="Calibri"/>
          <w:noProof/>
          <w:lang w:val="sr-Cyrl-CS"/>
        </w:rPr>
        <w:t>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члану</w:t>
      </w:r>
      <w:r w:rsidRPr="00D62158">
        <w:rPr>
          <w:rFonts w:eastAsia="Calibri"/>
          <w:noProof/>
          <w:lang w:val="sr-Cyrl-CS"/>
        </w:rPr>
        <w:t xml:space="preserve"> 9. </w:t>
      </w:r>
      <w:r>
        <w:rPr>
          <w:rFonts w:eastAsia="Calibri"/>
          <w:noProof/>
          <w:lang w:val="sr-Cyrl-CS"/>
        </w:rPr>
        <w:t>ријечи</w:t>
      </w:r>
      <w:r w:rsidRPr="00D62158">
        <w:rPr>
          <w:rFonts w:eastAsia="Calibri"/>
          <w:noProof/>
          <w:lang w:val="sr-Cyrl-CS"/>
        </w:rPr>
        <w:t>: „</w:t>
      </w:r>
      <w:r>
        <w:rPr>
          <w:rFonts w:eastAsia="Calibri"/>
          <w:noProof/>
          <w:lang w:val="sr-Cyrl-CS"/>
        </w:rPr>
        <w:t>Савјет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метрологију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D62158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даљем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тексту</w:t>
      </w:r>
      <w:r w:rsidRPr="00D62158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Савјет</w:t>
      </w:r>
      <w:r w:rsidRPr="00D62158">
        <w:rPr>
          <w:rFonts w:eastAsia="Calibri"/>
          <w:noProof/>
          <w:lang w:val="sr-Cyrl-CS"/>
        </w:rPr>
        <w:t xml:space="preserve">)“ </w:t>
      </w:r>
      <w:r>
        <w:rPr>
          <w:rFonts w:eastAsia="Calibri"/>
          <w:noProof/>
          <w:lang w:val="sr-Cyrl-CS"/>
        </w:rPr>
        <w:t>бришу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D62158">
        <w:rPr>
          <w:rFonts w:eastAsia="Calibri"/>
          <w:noProof/>
          <w:lang w:val="sr-Cyrl-CS"/>
        </w:rPr>
        <w:t>.</w:t>
      </w:r>
    </w:p>
    <w:p w:rsidR="00D62158" w:rsidRPr="00D62158" w:rsidRDefault="00D62158" w:rsidP="00D62158">
      <w:pPr>
        <w:ind w:left="0" w:firstLine="0"/>
        <w:jc w:val="center"/>
        <w:rPr>
          <w:rFonts w:eastAsia="Calibri"/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bCs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2.</w:t>
      </w:r>
    </w:p>
    <w:p w:rsidR="00D62158" w:rsidRPr="00D62158" w:rsidRDefault="00D62158" w:rsidP="00D62158">
      <w:pPr>
        <w:ind w:left="0" w:firstLine="0"/>
        <w:rPr>
          <w:rFonts w:eastAsia="Calibri"/>
          <w:bCs/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rFonts w:eastAsia="Calibri"/>
          <w:bCs/>
          <w:noProof/>
          <w:lang w:val="sr-Cyrl-CS"/>
        </w:rPr>
      </w:pPr>
      <w:r>
        <w:rPr>
          <w:rFonts w:eastAsia="Calibri"/>
          <w:bCs/>
          <w:noProof/>
          <w:lang w:val="sr-Cyrl-CS"/>
        </w:rPr>
        <w:t>Члан</w:t>
      </w:r>
      <w:r w:rsidRPr="00D62158">
        <w:rPr>
          <w:rFonts w:eastAsia="Calibri"/>
          <w:bCs/>
          <w:noProof/>
          <w:lang w:val="sr-Cyrl-CS"/>
        </w:rPr>
        <w:t xml:space="preserve"> 12. </w:t>
      </w:r>
      <w:r>
        <w:rPr>
          <w:rFonts w:eastAsia="Calibri"/>
          <w:bCs/>
          <w:noProof/>
          <w:lang w:val="sr-Cyrl-CS"/>
        </w:rPr>
        <w:t>брише</w:t>
      </w:r>
      <w:r w:rsidRPr="00D62158">
        <w:rPr>
          <w:rFonts w:eastAsia="Calibri"/>
          <w:bCs/>
          <w:noProof/>
          <w:lang w:val="sr-Cyrl-CS"/>
        </w:rPr>
        <w:t xml:space="preserve"> </w:t>
      </w:r>
      <w:r>
        <w:rPr>
          <w:rFonts w:eastAsia="Calibri"/>
          <w:bCs/>
          <w:noProof/>
          <w:lang w:val="sr-Cyrl-CS"/>
        </w:rPr>
        <w:t>се</w:t>
      </w:r>
      <w:r w:rsidRPr="00D62158">
        <w:rPr>
          <w:rFonts w:eastAsia="Calibri"/>
          <w:bCs/>
          <w:noProof/>
          <w:lang w:val="sr-Cyrl-CS"/>
        </w:rPr>
        <w:t>.</w:t>
      </w:r>
    </w:p>
    <w:p w:rsidR="00D62158" w:rsidRPr="00D62158" w:rsidRDefault="00D62158" w:rsidP="00D62158">
      <w:pPr>
        <w:ind w:left="0" w:firstLine="0"/>
        <w:rPr>
          <w:rFonts w:eastAsia="Calibri"/>
          <w:bCs/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bCs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3.</w:t>
      </w:r>
    </w:p>
    <w:p w:rsidR="00D62158" w:rsidRPr="00D62158" w:rsidRDefault="00D62158" w:rsidP="00D62158">
      <w:pPr>
        <w:ind w:left="0" w:firstLine="0"/>
        <w:rPr>
          <w:rFonts w:eastAsia="Calibri"/>
          <w:bCs/>
          <w:noProof/>
          <w:lang w:val="sr-Cyrl-CS"/>
        </w:rPr>
      </w:pPr>
    </w:p>
    <w:p w:rsidR="00D62158" w:rsidRPr="00D62158" w:rsidRDefault="00D62158" w:rsidP="00D62158">
      <w:pPr>
        <w:ind w:left="0" w:firstLine="284"/>
        <w:jc w:val="left"/>
        <w:rPr>
          <w:noProof/>
          <w:lang w:val="sr-Cyrl-CS"/>
        </w:rPr>
      </w:pPr>
      <w:r>
        <w:rPr>
          <w:noProof/>
          <w:lang w:val="sr-Cyrl-CS"/>
        </w:rPr>
        <w:t>Члан</w:t>
      </w:r>
      <w:r w:rsidRPr="00D62158">
        <w:rPr>
          <w:noProof/>
          <w:lang w:val="sr-Cyrl-CS"/>
        </w:rPr>
        <w:t xml:space="preserve"> 13. </w:t>
      </w:r>
      <w:r>
        <w:rPr>
          <w:noProof/>
          <w:lang w:val="sr-Cyrl-CS"/>
        </w:rPr>
        <w:t>брише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bCs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4.</w:t>
      </w:r>
    </w:p>
    <w:p w:rsidR="00D62158" w:rsidRPr="00D62158" w:rsidRDefault="00D62158" w:rsidP="00D62158">
      <w:pPr>
        <w:ind w:left="0" w:firstLine="360"/>
        <w:rPr>
          <w:rFonts w:eastAsia="Calibri"/>
          <w:bCs/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rFonts w:eastAsia="Calibri"/>
          <w:bCs/>
          <w:noProof/>
          <w:lang w:val="sr-Cyrl-CS"/>
        </w:rPr>
      </w:pPr>
      <w:r>
        <w:rPr>
          <w:rFonts w:eastAsia="Calibri"/>
          <w:bCs/>
          <w:noProof/>
          <w:lang w:val="sr-Cyrl-CS"/>
        </w:rPr>
        <w:t>У</w:t>
      </w:r>
      <w:r w:rsidRPr="00D62158">
        <w:rPr>
          <w:rFonts w:eastAsia="Calibri"/>
          <w:bCs/>
          <w:noProof/>
          <w:lang w:val="sr-Cyrl-CS"/>
        </w:rPr>
        <w:t xml:space="preserve"> </w:t>
      </w:r>
      <w:r>
        <w:rPr>
          <w:rFonts w:eastAsia="Calibri"/>
          <w:bCs/>
          <w:noProof/>
          <w:lang w:val="sr-Cyrl-CS"/>
        </w:rPr>
        <w:t>члану</w:t>
      </w:r>
      <w:r w:rsidRPr="00D62158">
        <w:rPr>
          <w:rFonts w:eastAsia="Calibri"/>
          <w:bCs/>
          <w:noProof/>
          <w:lang w:val="sr-Cyrl-CS"/>
        </w:rPr>
        <w:t xml:space="preserve"> 15. </w:t>
      </w:r>
      <w:r>
        <w:rPr>
          <w:rFonts w:eastAsia="Calibri"/>
          <w:bCs/>
          <w:noProof/>
          <w:lang w:val="sr-Cyrl-CS"/>
        </w:rPr>
        <w:t>у</w:t>
      </w:r>
      <w:r w:rsidRPr="00D62158">
        <w:rPr>
          <w:rFonts w:eastAsia="Calibri"/>
          <w:bCs/>
          <w:noProof/>
          <w:lang w:val="sr-Cyrl-CS"/>
        </w:rPr>
        <w:t xml:space="preserve"> </w:t>
      </w:r>
      <w:r>
        <w:rPr>
          <w:rFonts w:eastAsia="Calibri"/>
          <w:bCs/>
          <w:noProof/>
          <w:lang w:val="sr-Cyrl-CS"/>
        </w:rPr>
        <w:t>ставу</w:t>
      </w:r>
      <w:r w:rsidRPr="00D62158">
        <w:rPr>
          <w:rFonts w:eastAsia="Calibri"/>
          <w:bCs/>
          <w:noProof/>
          <w:lang w:val="sr-Cyrl-CS"/>
        </w:rPr>
        <w:t xml:space="preserve"> 4. </w:t>
      </w:r>
      <w:r>
        <w:rPr>
          <w:rFonts w:eastAsia="Calibri"/>
          <w:bCs/>
          <w:noProof/>
          <w:lang w:val="sr-Cyrl-CS"/>
        </w:rPr>
        <w:t>ријеч</w:t>
      </w:r>
      <w:r w:rsidRPr="00D62158">
        <w:rPr>
          <w:rFonts w:eastAsia="Calibri"/>
          <w:bCs/>
          <w:noProof/>
          <w:lang w:val="sr-Cyrl-CS"/>
        </w:rPr>
        <w:t>: „</w:t>
      </w:r>
      <w:r>
        <w:rPr>
          <w:rFonts w:eastAsia="Calibri"/>
          <w:bCs/>
          <w:noProof/>
          <w:lang w:val="sr-Cyrl-CS"/>
        </w:rPr>
        <w:t>испитивању</w:t>
      </w:r>
      <w:r w:rsidRPr="00D62158">
        <w:rPr>
          <w:rFonts w:eastAsia="Calibri"/>
          <w:bCs/>
          <w:noProof/>
          <w:lang w:val="sr-Cyrl-CS"/>
        </w:rPr>
        <w:t xml:space="preserve">“ </w:t>
      </w:r>
      <w:r>
        <w:rPr>
          <w:rFonts w:eastAsia="Calibri"/>
          <w:bCs/>
          <w:noProof/>
          <w:lang w:val="sr-Cyrl-CS"/>
        </w:rPr>
        <w:t>замјењује</w:t>
      </w:r>
      <w:r w:rsidRPr="00D62158">
        <w:rPr>
          <w:rFonts w:eastAsia="Calibri"/>
          <w:bCs/>
          <w:noProof/>
          <w:lang w:val="sr-Cyrl-CS"/>
        </w:rPr>
        <w:t xml:space="preserve"> </w:t>
      </w:r>
      <w:r>
        <w:rPr>
          <w:rFonts w:eastAsia="Calibri"/>
          <w:bCs/>
          <w:noProof/>
          <w:lang w:val="sr-Cyrl-CS"/>
        </w:rPr>
        <w:t>се</w:t>
      </w:r>
      <w:r w:rsidRPr="00D62158">
        <w:rPr>
          <w:rFonts w:eastAsia="Calibri"/>
          <w:bCs/>
          <w:noProof/>
          <w:lang w:val="sr-Cyrl-CS"/>
        </w:rPr>
        <w:t xml:space="preserve"> </w:t>
      </w:r>
      <w:r>
        <w:rPr>
          <w:rFonts w:eastAsia="Calibri"/>
          <w:bCs/>
          <w:noProof/>
          <w:lang w:val="sr-Cyrl-CS"/>
        </w:rPr>
        <w:t>ријечју</w:t>
      </w:r>
      <w:r w:rsidRPr="00D62158">
        <w:rPr>
          <w:rFonts w:eastAsia="Calibri"/>
          <w:bCs/>
          <w:noProof/>
          <w:lang w:val="sr-Cyrl-CS"/>
        </w:rPr>
        <w:t>: „</w:t>
      </w:r>
      <w:r>
        <w:rPr>
          <w:rFonts w:eastAsia="Calibri"/>
          <w:bCs/>
          <w:noProof/>
          <w:lang w:val="sr-Cyrl-CS"/>
        </w:rPr>
        <w:t>одобрењу</w:t>
      </w:r>
      <w:r w:rsidRPr="00D62158">
        <w:rPr>
          <w:rFonts w:eastAsia="Calibri"/>
          <w:bCs/>
          <w:noProof/>
          <w:lang w:val="sr-Cyrl-CS"/>
        </w:rPr>
        <w:t>“.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bCs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5.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члану</w:t>
      </w:r>
      <w:r w:rsidRPr="00D62158">
        <w:rPr>
          <w:noProof/>
          <w:lang w:val="sr-Cyrl-CS"/>
        </w:rPr>
        <w:t xml:space="preserve"> 24. </w:t>
      </w:r>
      <w:r>
        <w:rPr>
          <w:noProof/>
          <w:lang w:val="sr-Cyrl-CS"/>
        </w:rPr>
        <w:t>став</w:t>
      </w:r>
      <w:r w:rsidRPr="00D62158">
        <w:rPr>
          <w:noProof/>
          <w:lang w:val="sr-Cyrl-CS"/>
        </w:rPr>
        <w:t xml:space="preserve"> 1. </w:t>
      </w:r>
      <w:r>
        <w:rPr>
          <w:noProof/>
          <w:lang w:val="sr-Cyrl-CS"/>
        </w:rPr>
        <w:t>мијења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гласи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„(1) 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случају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исправност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верификованог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заинтересовано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лице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може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контролни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преглед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издавање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извјештаја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тражити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Завода</w:t>
      </w:r>
      <w:r w:rsidRPr="00D62158">
        <w:rPr>
          <w:noProof/>
          <w:lang w:val="sr-Cyrl-CS"/>
        </w:rPr>
        <w:t>.“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bCs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6.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члану</w:t>
      </w:r>
      <w:r w:rsidRPr="00D62158">
        <w:rPr>
          <w:noProof/>
          <w:lang w:val="sr-Cyrl-CS"/>
        </w:rPr>
        <w:t xml:space="preserve"> 25.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ставу</w:t>
      </w:r>
      <w:r w:rsidRPr="00D62158">
        <w:rPr>
          <w:noProof/>
          <w:lang w:val="sr-Cyrl-CS"/>
        </w:rPr>
        <w:t xml:space="preserve"> 4.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Привредни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субјекти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физичка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лица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замјењују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ријечима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Власници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или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корисници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“. 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bCs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7.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360"/>
        <w:rPr>
          <w:noProof/>
          <w:lang w:val="sr-Cyrl-CS"/>
        </w:rPr>
      </w:pPr>
      <w:r>
        <w:rPr>
          <w:noProof/>
          <w:lang w:val="sr-Cyrl-CS"/>
        </w:rPr>
        <w:t>Назив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</w:t>
      </w:r>
      <w:r w:rsidRPr="00D62158">
        <w:rPr>
          <w:noProof/>
          <w:lang w:val="sr-Cyrl-CS"/>
        </w:rPr>
        <w:t xml:space="preserve"> 29. </w:t>
      </w:r>
      <w:r>
        <w:rPr>
          <w:noProof/>
          <w:lang w:val="sr-Cyrl-CS"/>
        </w:rPr>
        <w:t>мијењају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гласе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0"/>
        <w:jc w:val="center"/>
        <w:rPr>
          <w:noProof/>
          <w:lang w:val="sr-Cyrl-CS"/>
        </w:rPr>
      </w:pPr>
      <w:r w:rsidRPr="00D62158">
        <w:rPr>
          <w:noProof/>
          <w:lang w:val="sr-Cyrl-CS"/>
        </w:rPr>
        <w:t>„</w:t>
      </w:r>
      <w:r>
        <w:rPr>
          <w:noProof/>
          <w:lang w:val="sr-Cyrl-CS"/>
        </w:rPr>
        <w:t>Суспензија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укидање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овлашћивању</w:t>
      </w:r>
    </w:p>
    <w:p w:rsidR="00D62158" w:rsidRPr="00D62158" w:rsidRDefault="00D62158" w:rsidP="00D62158">
      <w:pPr>
        <w:ind w:left="0" w:firstLine="0"/>
        <w:jc w:val="center"/>
        <w:rPr>
          <w:noProof/>
          <w:lang w:val="sr-Cyrl-CS"/>
        </w:rPr>
      </w:pPr>
      <w:r>
        <w:rPr>
          <w:noProof/>
          <w:lang w:val="sr-Cyrl-CS"/>
        </w:rPr>
        <w:t>Члан</w:t>
      </w:r>
      <w:r w:rsidRPr="00D62158">
        <w:rPr>
          <w:noProof/>
          <w:lang w:val="sr-Cyrl-CS"/>
        </w:rPr>
        <w:t xml:space="preserve"> 29.</w:t>
      </w:r>
    </w:p>
    <w:p w:rsidR="00D62158" w:rsidRPr="00D62158" w:rsidRDefault="00D62158" w:rsidP="00D62158">
      <w:pPr>
        <w:ind w:left="0" w:firstLine="360"/>
        <w:rPr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(1) </w:t>
      </w:r>
      <w:r>
        <w:rPr>
          <w:noProof/>
          <w:lang w:val="sr-Cyrl-CS"/>
        </w:rPr>
        <w:t>Директор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доноси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суспензији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или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укидању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ако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приликом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надзора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утврди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престало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испуњава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прописане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услове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као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случају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обављања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послова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супротно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одредбама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закона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других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прописа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области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метрологије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(2) </w:t>
      </w:r>
      <w:r>
        <w:rPr>
          <w:noProof/>
          <w:lang w:val="sr-Cyrl-CS"/>
        </w:rPr>
        <w:t>Рјешење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суспендује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ако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учинило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једну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сљедећих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неправилности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1) </w:t>
      </w:r>
      <w:r>
        <w:rPr>
          <w:noProof/>
          <w:lang w:val="sr-Cyrl-CS"/>
        </w:rPr>
        <w:t>верификовало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посједује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одобрење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типа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2) </w:t>
      </w:r>
      <w:r>
        <w:rPr>
          <w:noProof/>
          <w:lang w:val="sr-Cyrl-CS"/>
        </w:rPr>
        <w:t>верификовало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складу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одобреним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типом</w:t>
      </w:r>
      <w:r w:rsidRPr="00D62158">
        <w:rPr>
          <w:noProof/>
          <w:lang w:val="sr-Cyrl-CS"/>
        </w:rPr>
        <w:t xml:space="preserve"> (</w:t>
      </w:r>
      <w:r>
        <w:rPr>
          <w:noProof/>
          <w:lang w:val="sr-Cyrl-CS"/>
        </w:rPr>
        <w:t>преправљано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мјерило</w:t>
      </w:r>
      <w:r w:rsidRPr="00D62158">
        <w:rPr>
          <w:noProof/>
          <w:lang w:val="sr-Cyrl-CS"/>
        </w:rPr>
        <w:t>),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3) </w:t>
      </w:r>
      <w:r>
        <w:rPr>
          <w:noProof/>
          <w:lang w:val="sr-Cyrl-CS"/>
        </w:rPr>
        <w:t>обавило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прву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истекло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одобрење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типа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4) </w:t>
      </w:r>
      <w:r>
        <w:rPr>
          <w:noProof/>
          <w:lang w:val="sr-Cyrl-CS"/>
        </w:rPr>
        <w:t>касни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достављању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верификованим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мјерилима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lastRenderedPageBreak/>
        <w:t xml:space="preserve">5) </w:t>
      </w:r>
      <w:r>
        <w:rPr>
          <w:noProof/>
          <w:lang w:val="sr-Cyrl-CS"/>
        </w:rPr>
        <w:t>достави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нетачне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или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непотпуне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верификованим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мјерилима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6) </w:t>
      </w:r>
      <w:r>
        <w:rPr>
          <w:noProof/>
          <w:lang w:val="sr-Cyrl-CS"/>
        </w:rPr>
        <w:t>верификовало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еталонима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калибрисани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7) </w:t>
      </w:r>
      <w:r>
        <w:rPr>
          <w:noProof/>
          <w:lang w:val="sr-Cyrl-CS"/>
        </w:rPr>
        <w:t>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води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записник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прегледу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током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8) </w:t>
      </w:r>
      <w:r>
        <w:rPr>
          <w:noProof/>
          <w:lang w:val="sr-Cyrl-CS"/>
        </w:rPr>
        <w:t>касни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или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уплаћује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буџет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износе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складу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прописом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којим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уређују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висине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накнаде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послове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области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законске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метрологије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9)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прописаном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времену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достави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промјене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значаја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(3) </w:t>
      </w:r>
      <w:r>
        <w:rPr>
          <w:noProof/>
          <w:lang w:val="sr-Cyrl-CS"/>
        </w:rPr>
        <w:t>Прије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доношења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суспензији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овлашћено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лице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може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записнички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одреди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рок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највише</w:t>
      </w:r>
      <w:r w:rsidRPr="00D62158">
        <w:rPr>
          <w:noProof/>
          <w:lang w:val="sr-Cyrl-CS"/>
        </w:rPr>
        <w:t xml:space="preserve"> 15 </w:t>
      </w:r>
      <w:r>
        <w:rPr>
          <w:noProof/>
          <w:lang w:val="sr-Cyrl-CS"/>
        </w:rPr>
        <w:t>дана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отклањање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недостатака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(4) </w:t>
      </w:r>
      <w:r>
        <w:rPr>
          <w:noProof/>
          <w:lang w:val="sr-Cyrl-CS"/>
        </w:rPr>
        <w:t>Максималан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трајања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суспензије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шест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мјесеци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доношења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суспензији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(5) </w:t>
      </w:r>
      <w:r>
        <w:rPr>
          <w:noProof/>
          <w:lang w:val="sr-Cyrl-CS"/>
        </w:rPr>
        <w:t>Током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трајања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суспензије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овлашћеном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дозвољено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обавља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послове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дужно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доставити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све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задужене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неупотријебљене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жигове</w:t>
      </w:r>
      <w:r w:rsidRPr="00D62158">
        <w:rPr>
          <w:noProof/>
          <w:lang w:val="sr-Cyrl-CS"/>
        </w:rPr>
        <w:t xml:space="preserve">. 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(6) </w:t>
      </w:r>
      <w:r>
        <w:rPr>
          <w:noProof/>
          <w:lang w:val="sr-Cyrl-CS"/>
        </w:rPr>
        <w:t>Рјешење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укида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ако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учинило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једну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сљедећих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неправилности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1) </w:t>
      </w:r>
      <w:r>
        <w:rPr>
          <w:noProof/>
          <w:lang w:val="sr-Cyrl-CS"/>
        </w:rPr>
        <w:t>обављало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послове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током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трајања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суспензије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2) </w:t>
      </w:r>
      <w:r>
        <w:rPr>
          <w:noProof/>
          <w:lang w:val="sr-Cyrl-CS"/>
        </w:rPr>
        <w:t>није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отклонило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утврђене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неправилности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истека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суспензије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3) </w:t>
      </w:r>
      <w:r>
        <w:rPr>
          <w:noProof/>
          <w:lang w:val="sr-Cyrl-CS"/>
        </w:rPr>
        <w:t>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врати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све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задужене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неупотријебљене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жигове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осим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случају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више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силе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4) </w:t>
      </w:r>
      <w:r>
        <w:rPr>
          <w:noProof/>
          <w:lang w:val="sr-Cyrl-CS"/>
        </w:rPr>
        <w:t>издало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републичке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жигове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другим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особама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запослене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овлашћеном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тијелу</w:t>
      </w:r>
      <w:r w:rsidRPr="00D62158">
        <w:rPr>
          <w:noProof/>
          <w:lang w:val="sr-Cyrl-CS"/>
        </w:rPr>
        <w:t>,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5) </w:t>
      </w:r>
      <w:r>
        <w:rPr>
          <w:noProof/>
          <w:lang w:val="sr-Cyrl-CS"/>
        </w:rPr>
        <w:t>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користи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прописане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жигове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поступку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6) </w:t>
      </w:r>
      <w:r>
        <w:rPr>
          <w:noProof/>
          <w:lang w:val="sr-Cyrl-CS"/>
        </w:rPr>
        <w:t>понови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неправилност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због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раније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било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суспендовано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(7) </w:t>
      </w:r>
      <w:r>
        <w:rPr>
          <w:noProof/>
          <w:lang w:val="sr-Cyrl-CS"/>
        </w:rPr>
        <w:t>Рјешења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</w:t>
      </w:r>
      <w:r w:rsidRPr="00D62158">
        <w:rPr>
          <w:noProof/>
          <w:lang w:val="sr-Cyrl-CS"/>
        </w:rPr>
        <w:t xml:space="preserve">. 2.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6. </w:t>
      </w:r>
      <w:r>
        <w:rPr>
          <w:noProof/>
          <w:lang w:val="sr-Cyrl-CS"/>
        </w:rPr>
        <w:t>овог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коначна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против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њих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може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покренути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управни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спор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(8) </w:t>
      </w:r>
      <w:r>
        <w:rPr>
          <w:noProof/>
          <w:lang w:val="sr-Cyrl-CS"/>
        </w:rPr>
        <w:t>Овлашћено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којем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укинуто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може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поднијети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нови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захтјев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року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двије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године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правоснажности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укидању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(9) </w:t>
      </w:r>
      <w:r>
        <w:rPr>
          <w:noProof/>
          <w:lang w:val="sr-Cyrl-CS"/>
        </w:rPr>
        <w:t>Рјешење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престаје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важи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сили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закона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сљедећим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случајевима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284"/>
        <w:jc w:val="left"/>
        <w:rPr>
          <w:noProof/>
          <w:lang w:val="sr-Cyrl-CS"/>
        </w:rPr>
      </w:pPr>
      <w:r w:rsidRPr="00D62158">
        <w:rPr>
          <w:noProof/>
          <w:lang w:val="sr-Cyrl-CS"/>
        </w:rPr>
        <w:t xml:space="preserve">1) </w:t>
      </w:r>
      <w:r>
        <w:rPr>
          <w:noProof/>
          <w:lang w:val="sr-Cyrl-CS"/>
        </w:rPr>
        <w:t>престанком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важења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акта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акредитацији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или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2) </w:t>
      </w:r>
      <w:r>
        <w:rPr>
          <w:noProof/>
          <w:lang w:val="sr-Cyrl-CS"/>
        </w:rPr>
        <w:t>утврђивањем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престанка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рада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брисањем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овлашћеног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органа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којег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регистровано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(10) </w:t>
      </w:r>
      <w:r>
        <w:rPr>
          <w:noProof/>
          <w:lang w:val="sr-Cyrl-CS"/>
        </w:rPr>
        <w:t>Ако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престане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важи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основу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става</w:t>
      </w:r>
      <w:r w:rsidRPr="00D62158">
        <w:rPr>
          <w:noProof/>
          <w:lang w:val="sr-Cyrl-CS"/>
        </w:rPr>
        <w:t xml:space="preserve"> 9. </w:t>
      </w:r>
      <w:r>
        <w:rPr>
          <w:noProof/>
          <w:lang w:val="sr-Cyrl-CS"/>
        </w:rPr>
        <w:t>тачка</w:t>
      </w:r>
      <w:r w:rsidRPr="00D62158">
        <w:rPr>
          <w:noProof/>
          <w:lang w:val="sr-Cyrl-CS"/>
        </w:rPr>
        <w:t xml:space="preserve"> 1) </w:t>
      </w:r>
      <w:r>
        <w:rPr>
          <w:noProof/>
          <w:lang w:val="sr-Cyrl-CS"/>
        </w:rPr>
        <w:t>овог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члана</w:t>
      </w:r>
      <w:r w:rsidRPr="00D62158">
        <w:rPr>
          <w:noProof/>
          <w:lang w:val="sr-Cyrl-CS"/>
        </w:rPr>
        <w:t xml:space="preserve">, </w:t>
      </w:r>
      <w:r>
        <w:rPr>
          <w:noProof/>
          <w:lang w:val="sr-Cyrl-CS"/>
        </w:rPr>
        <w:t>нема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временског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ограничења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подношење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новог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захтјева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овлашћивање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(11) </w:t>
      </w:r>
      <w:r>
        <w:rPr>
          <w:noProof/>
          <w:lang w:val="sr-Cyrl-CS"/>
        </w:rPr>
        <w:t>Завод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брише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регистра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овлашћених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случају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укидања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или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престанка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важења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сили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закона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рјешења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овлашћивању</w:t>
      </w:r>
      <w:r w:rsidRPr="00D62158">
        <w:rPr>
          <w:noProof/>
          <w:lang w:val="sr-Cyrl-CS"/>
        </w:rPr>
        <w:t>.“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noProof/>
          <w:lang w:val="sr-Cyrl-CS"/>
        </w:rPr>
      </w:pPr>
      <w:r>
        <w:rPr>
          <w:noProof/>
          <w:lang w:val="sr-Cyrl-CS"/>
        </w:rPr>
        <w:t>Члан</w:t>
      </w:r>
      <w:r w:rsidRPr="00D62158">
        <w:rPr>
          <w:noProof/>
          <w:lang w:val="sr-Cyrl-CS"/>
        </w:rPr>
        <w:t xml:space="preserve"> 8.</w:t>
      </w:r>
    </w:p>
    <w:p w:rsidR="00D62158" w:rsidRPr="00D62158" w:rsidRDefault="00D62158" w:rsidP="00D62158">
      <w:pPr>
        <w:ind w:left="0" w:firstLine="0"/>
        <w:jc w:val="left"/>
        <w:rPr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члану</w:t>
      </w:r>
      <w:r w:rsidRPr="00D62158">
        <w:rPr>
          <w:noProof/>
          <w:lang w:val="sr-Cyrl-CS"/>
        </w:rPr>
        <w:t xml:space="preserve"> 30. </w:t>
      </w:r>
      <w:r>
        <w:rPr>
          <w:noProof/>
          <w:lang w:val="sr-Cyrl-CS"/>
        </w:rPr>
        <w:t>став</w:t>
      </w:r>
      <w:r w:rsidRPr="00D62158">
        <w:rPr>
          <w:noProof/>
          <w:lang w:val="sr-Cyrl-CS"/>
        </w:rPr>
        <w:t xml:space="preserve"> 3. </w:t>
      </w:r>
      <w:r>
        <w:rPr>
          <w:noProof/>
          <w:lang w:val="sr-Cyrl-CS"/>
        </w:rPr>
        <w:t>мијења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гласи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„(3) </w:t>
      </w:r>
      <w:r>
        <w:rPr>
          <w:noProof/>
          <w:lang w:val="sr-Cyrl-CS"/>
        </w:rPr>
        <w:t>Овлашћено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тијело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доставља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податке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става</w:t>
      </w:r>
      <w:r w:rsidRPr="00D62158">
        <w:rPr>
          <w:noProof/>
          <w:lang w:val="sr-Cyrl-CS"/>
        </w:rPr>
        <w:t xml:space="preserve"> 1. </w:t>
      </w:r>
      <w:r>
        <w:rPr>
          <w:noProof/>
          <w:lang w:val="sr-Cyrl-CS"/>
        </w:rPr>
        <w:t>овог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најкасније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десетог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мјесецу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претходни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мјесец</w:t>
      </w:r>
      <w:r w:rsidRPr="00D62158">
        <w:rPr>
          <w:noProof/>
          <w:lang w:val="sr-Cyrl-CS"/>
        </w:rPr>
        <w:t>.“</w:t>
      </w:r>
    </w:p>
    <w:p w:rsidR="00D62158" w:rsidRPr="00D62158" w:rsidRDefault="00D62158" w:rsidP="00D62158">
      <w:pPr>
        <w:ind w:left="0" w:firstLine="0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noProof/>
          <w:lang w:val="sr-Cyrl-CS"/>
        </w:rPr>
      </w:pPr>
      <w:r>
        <w:rPr>
          <w:noProof/>
          <w:lang w:val="sr-Cyrl-CS"/>
        </w:rPr>
        <w:t>Члан</w:t>
      </w:r>
      <w:r w:rsidRPr="00D62158">
        <w:rPr>
          <w:noProof/>
          <w:lang w:val="sr-Cyrl-CS"/>
        </w:rPr>
        <w:t xml:space="preserve"> 9.</w:t>
      </w:r>
    </w:p>
    <w:p w:rsidR="00D62158" w:rsidRPr="00D62158" w:rsidRDefault="00D62158" w:rsidP="00D62158">
      <w:pPr>
        <w:ind w:left="0" w:firstLine="0"/>
        <w:rPr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члану</w:t>
      </w:r>
      <w:r w:rsidRPr="00D62158">
        <w:rPr>
          <w:noProof/>
          <w:lang w:val="sr-Cyrl-CS"/>
        </w:rPr>
        <w:t xml:space="preserve"> 32.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ставу</w:t>
      </w:r>
      <w:r w:rsidRPr="00D62158">
        <w:rPr>
          <w:noProof/>
          <w:lang w:val="sr-Cyrl-CS"/>
        </w:rPr>
        <w:t xml:space="preserve"> 4. </w:t>
      </w:r>
      <w:r>
        <w:rPr>
          <w:noProof/>
          <w:lang w:val="sr-Cyrl-CS"/>
        </w:rPr>
        <w:t>послије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Завод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додаје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запета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сарадњи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Министарством</w:t>
      </w:r>
      <w:r w:rsidRPr="00D62158">
        <w:rPr>
          <w:noProof/>
          <w:lang w:val="sr-Cyrl-CS"/>
        </w:rPr>
        <w:t>,“.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lastRenderedPageBreak/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ставу</w:t>
      </w:r>
      <w:r w:rsidRPr="00D62158">
        <w:rPr>
          <w:noProof/>
          <w:lang w:val="sr-Cyrl-CS"/>
        </w:rPr>
        <w:t xml:space="preserve"> 5. </w:t>
      </w:r>
      <w:r>
        <w:rPr>
          <w:noProof/>
          <w:lang w:val="sr-Cyrl-CS"/>
        </w:rPr>
        <w:t>послије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Завод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додаје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запета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сарадњи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Министарством</w:t>
      </w:r>
      <w:r w:rsidRPr="00D62158">
        <w:rPr>
          <w:noProof/>
          <w:lang w:val="sr-Cyrl-CS"/>
        </w:rPr>
        <w:t>,“.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ставу</w:t>
      </w:r>
      <w:r w:rsidRPr="00D62158">
        <w:rPr>
          <w:noProof/>
          <w:lang w:val="sr-Cyrl-CS"/>
        </w:rPr>
        <w:t xml:space="preserve"> 8. </w:t>
      </w:r>
      <w:r>
        <w:rPr>
          <w:noProof/>
          <w:lang w:val="sr-Cyrl-CS"/>
        </w:rPr>
        <w:t>послије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Завод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додаје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запета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сарадњи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Министарством</w:t>
      </w:r>
      <w:r w:rsidRPr="00D62158">
        <w:rPr>
          <w:noProof/>
          <w:lang w:val="sr-Cyrl-CS"/>
        </w:rPr>
        <w:t>,“.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ставу</w:t>
      </w:r>
      <w:r w:rsidRPr="00D62158">
        <w:rPr>
          <w:noProof/>
          <w:lang w:val="sr-Cyrl-CS"/>
        </w:rPr>
        <w:t xml:space="preserve"> 10. </w:t>
      </w:r>
      <w:r>
        <w:rPr>
          <w:noProof/>
          <w:lang w:val="sr-Cyrl-CS"/>
        </w:rPr>
        <w:t>број</w:t>
      </w:r>
      <w:r w:rsidRPr="00D62158">
        <w:rPr>
          <w:noProof/>
          <w:lang w:val="sr-Cyrl-CS"/>
        </w:rPr>
        <w:t xml:space="preserve">: „2019.“ </w:t>
      </w:r>
      <w:r>
        <w:rPr>
          <w:noProof/>
          <w:lang w:val="sr-Cyrl-CS"/>
        </w:rPr>
        <w:t>замјењује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бројем</w:t>
      </w:r>
      <w:r w:rsidRPr="00D62158">
        <w:rPr>
          <w:noProof/>
          <w:lang w:val="sr-Cyrl-CS"/>
        </w:rPr>
        <w:t xml:space="preserve">: „2022.“, </w:t>
      </w:r>
      <w:r>
        <w:rPr>
          <w:noProof/>
          <w:lang w:val="sr-Cyrl-CS"/>
        </w:rPr>
        <w:t>као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цијелом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тексту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Закона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0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noProof/>
          <w:lang w:val="sr-Cyrl-CS"/>
        </w:rPr>
      </w:pPr>
      <w:r>
        <w:rPr>
          <w:noProof/>
          <w:lang w:val="sr-Cyrl-CS"/>
        </w:rPr>
        <w:t>Члан</w:t>
      </w:r>
      <w:r w:rsidRPr="00D62158">
        <w:rPr>
          <w:noProof/>
          <w:lang w:val="sr-Cyrl-CS"/>
        </w:rPr>
        <w:t xml:space="preserve"> 10.</w:t>
      </w:r>
    </w:p>
    <w:p w:rsidR="00D62158" w:rsidRPr="00D62158" w:rsidRDefault="00D62158" w:rsidP="00D62158">
      <w:pPr>
        <w:ind w:left="0" w:firstLine="0"/>
        <w:rPr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члану</w:t>
      </w:r>
      <w:r w:rsidRPr="00D62158">
        <w:rPr>
          <w:noProof/>
          <w:lang w:val="sr-Cyrl-CS"/>
        </w:rPr>
        <w:t xml:space="preserve"> 34.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ставу</w:t>
      </w:r>
      <w:r w:rsidRPr="00D62158">
        <w:rPr>
          <w:noProof/>
          <w:lang w:val="sr-Cyrl-CS"/>
        </w:rPr>
        <w:t xml:space="preserve"> 1.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тачки</w:t>
      </w:r>
      <w:r w:rsidRPr="00D62158">
        <w:rPr>
          <w:noProof/>
          <w:lang w:val="sr-Cyrl-CS"/>
        </w:rPr>
        <w:t xml:space="preserve"> 2) </w:t>
      </w:r>
      <w:r>
        <w:rPr>
          <w:noProof/>
          <w:lang w:val="sr-Cyrl-CS"/>
        </w:rPr>
        <w:t>послије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ријеч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брише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додаје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запета</w:t>
      </w:r>
      <w:r w:rsidRPr="00D62158">
        <w:rPr>
          <w:noProof/>
          <w:lang w:val="sr-Cyrl-CS"/>
        </w:rPr>
        <w:t>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тачки</w:t>
      </w:r>
      <w:r w:rsidRPr="00D62158">
        <w:rPr>
          <w:noProof/>
          <w:lang w:val="sr-Cyrl-CS"/>
        </w:rPr>
        <w:t xml:space="preserve"> 3) </w:t>
      </w:r>
      <w:r>
        <w:rPr>
          <w:noProof/>
          <w:lang w:val="sr-Cyrl-CS"/>
        </w:rPr>
        <w:t>послије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додаје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запета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нова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тачка</w:t>
      </w:r>
      <w:r w:rsidRPr="00D62158">
        <w:rPr>
          <w:noProof/>
          <w:lang w:val="sr-Cyrl-CS"/>
        </w:rPr>
        <w:t xml:space="preserve"> 4) </w:t>
      </w:r>
      <w:r>
        <w:rPr>
          <w:noProof/>
          <w:lang w:val="sr-Cyrl-CS"/>
        </w:rPr>
        <w:t>која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гласи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„4) </w:t>
      </w:r>
      <w:r>
        <w:rPr>
          <w:noProof/>
          <w:lang w:val="sr-Cyrl-CS"/>
        </w:rPr>
        <w:t>захтјеву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верификацију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мјерила</w:t>
      </w:r>
      <w:r w:rsidRPr="00D62158">
        <w:rPr>
          <w:noProof/>
          <w:lang w:val="sr-Cyrl-CS"/>
        </w:rPr>
        <w:t>“.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Став</w:t>
      </w:r>
      <w:r w:rsidRPr="00D62158">
        <w:rPr>
          <w:noProof/>
          <w:lang w:val="sr-Cyrl-CS"/>
        </w:rPr>
        <w:t xml:space="preserve"> 3. </w:t>
      </w:r>
      <w:r>
        <w:rPr>
          <w:noProof/>
          <w:lang w:val="sr-Cyrl-CS"/>
        </w:rPr>
        <w:t>мијења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гласи</w:t>
      </w:r>
      <w:r w:rsidRPr="00D62158">
        <w:rPr>
          <w:noProof/>
          <w:lang w:val="sr-Cyrl-CS"/>
        </w:rPr>
        <w:t>:</w:t>
      </w: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 w:rsidRPr="00D62158">
        <w:rPr>
          <w:noProof/>
          <w:lang w:val="sr-Cyrl-CS"/>
        </w:rPr>
        <w:t xml:space="preserve">„(3) </w:t>
      </w:r>
      <w:r>
        <w:rPr>
          <w:noProof/>
          <w:lang w:val="sr-Cyrl-CS"/>
        </w:rPr>
        <w:t>Образована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лабораторија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доставља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податке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става</w:t>
      </w:r>
      <w:r w:rsidRPr="00D62158">
        <w:rPr>
          <w:noProof/>
          <w:lang w:val="sr-Cyrl-CS"/>
        </w:rPr>
        <w:t xml:space="preserve"> 1. </w:t>
      </w:r>
      <w:r>
        <w:rPr>
          <w:noProof/>
          <w:lang w:val="sr-Cyrl-CS"/>
        </w:rPr>
        <w:t>овог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најкасније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десетог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мјесецу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претходни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мјесец</w:t>
      </w:r>
      <w:r w:rsidRPr="00D62158">
        <w:rPr>
          <w:noProof/>
          <w:lang w:val="sr-Cyrl-CS"/>
        </w:rPr>
        <w:t>.“</w:t>
      </w:r>
    </w:p>
    <w:p w:rsidR="00D62158" w:rsidRPr="00D62158" w:rsidRDefault="00D62158" w:rsidP="00D62158">
      <w:pPr>
        <w:ind w:left="0" w:firstLine="0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noProof/>
          <w:lang w:val="sr-Cyrl-CS"/>
        </w:rPr>
      </w:pPr>
      <w:r>
        <w:rPr>
          <w:noProof/>
          <w:lang w:val="sr-Cyrl-CS"/>
        </w:rPr>
        <w:t>Члан</w:t>
      </w:r>
      <w:r w:rsidRPr="00D62158">
        <w:rPr>
          <w:noProof/>
          <w:lang w:val="sr-Cyrl-CS"/>
        </w:rPr>
        <w:t xml:space="preserve"> 11.</w:t>
      </w:r>
    </w:p>
    <w:p w:rsidR="00D62158" w:rsidRPr="00D62158" w:rsidRDefault="00D62158" w:rsidP="00D62158">
      <w:pPr>
        <w:ind w:left="0" w:firstLine="0"/>
        <w:rPr>
          <w:noProof/>
          <w:lang w:val="sr-Cyrl-CS"/>
        </w:rPr>
      </w:pPr>
    </w:p>
    <w:p w:rsidR="00D62158" w:rsidRPr="00D62158" w:rsidRDefault="00D62158" w:rsidP="00D62158">
      <w:pPr>
        <w:ind w:left="0" w:firstLine="284"/>
        <w:rPr>
          <w:noProof/>
          <w:lang w:val="sr-Cyrl-CS"/>
        </w:rPr>
      </w:pP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члану</w:t>
      </w:r>
      <w:r w:rsidRPr="00D62158">
        <w:rPr>
          <w:noProof/>
          <w:lang w:val="sr-Cyrl-CS"/>
        </w:rPr>
        <w:t xml:space="preserve"> 37.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ставу</w:t>
      </w:r>
      <w:r w:rsidRPr="00D62158">
        <w:rPr>
          <w:noProof/>
          <w:lang w:val="sr-Cyrl-CS"/>
        </w:rPr>
        <w:t xml:space="preserve"> 1. </w:t>
      </w:r>
      <w:r>
        <w:rPr>
          <w:noProof/>
          <w:lang w:val="sr-Cyrl-CS"/>
        </w:rPr>
        <w:t>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тачки</w:t>
      </w:r>
      <w:r w:rsidRPr="00D62158">
        <w:rPr>
          <w:noProof/>
          <w:lang w:val="sr-Cyrl-CS"/>
        </w:rPr>
        <w:t xml:space="preserve"> 5) </w:t>
      </w:r>
      <w:r>
        <w:rPr>
          <w:noProof/>
          <w:lang w:val="sr-Cyrl-CS"/>
        </w:rPr>
        <w:t>послије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употреби</w:t>
      </w:r>
      <w:r w:rsidRPr="00D62158">
        <w:rPr>
          <w:noProof/>
          <w:lang w:val="sr-Cyrl-CS"/>
        </w:rPr>
        <w:t xml:space="preserve">“ </w:t>
      </w:r>
      <w:r>
        <w:rPr>
          <w:noProof/>
          <w:lang w:val="sr-Cyrl-CS"/>
        </w:rPr>
        <w:t>додају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ријечи</w:t>
      </w:r>
      <w:r w:rsidRPr="00D62158">
        <w:rPr>
          <w:noProof/>
          <w:lang w:val="sr-Cyrl-CS"/>
        </w:rPr>
        <w:t>: „</w:t>
      </w:r>
      <w:r>
        <w:rPr>
          <w:noProof/>
          <w:lang w:val="sr-Cyrl-CS"/>
        </w:rPr>
        <w:t>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на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захтјев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Завода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достави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податке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из</w:t>
      </w:r>
      <w:r w:rsidRPr="00D62158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евиденције</w:t>
      </w:r>
      <w:r w:rsidRPr="00D62158">
        <w:rPr>
          <w:noProof/>
          <w:lang w:val="sr-Cyrl-CS"/>
        </w:rPr>
        <w:t>“.</w:t>
      </w:r>
    </w:p>
    <w:p w:rsidR="00D62158" w:rsidRPr="00D62158" w:rsidRDefault="00D62158" w:rsidP="00D62158">
      <w:pPr>
        <w:ind w:left="0" w:firstLine="360"/>
        <w:rPr>
          <w:noProof/>
          <w:lang w:val="sr-Cyrl-CS"/>
        </w:rPr>
      </w:pPr>
    </w:p>
    <w:p w:rsidR="00D62158" w:rsidRPr="00D62158" w:rsidRDefault="00D62158" w:rsidP="00D62158">
      <w:pPr>
        <w:ind w:left="0" w:firstLine="0"/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D62158">
        <w:rPr>
          <w:rFonts w:eastAsia="Calibri"/>
          <w:noProof/>
          <w:lang w:val="sr-Cyrl-CS"/>
        </w:rPr>
        <w:t xml:space="preserve"> 12.</w:t>
      </w:r>
    </w:p>
    <w:p w:rsidR="00D62158" w:rsidRPr="00D62158" w:rsidRDefault="00D62158" w:rsidP="00D62158">
      <w:pPr>
        <w:ind w:left="0" w:firstLine="0"/>
        <w:rPr>
          <w:rFonts w:eastAsia="Calibri"/>
          <w:noProof/>
          <w:lang w:val="sr-Cyrl-CS"/>
        </w:rPr>
      </w:pPr>
    </w:p>
    <w:p w:rsidR="00D62158" w:rsidRPr="00D62158" w:rsidRDefault="00D62158" w:rsidP="00D62158">
      <w:pPr>
        <w:ind w:left="0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Овај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ступа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снагу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осмог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дана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дана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објављивања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D62158">
        <w:rPr>
          <w:rFonts w:eastAsia="Calibri"/>
          <w:noProof/>
          <w:lang w:val="sr-Cyrl-CS"/>
        </w:rPr>
        <w:t xml:space="preserve"> „</w:t>
      </w:r>
      <w:r>
        <w:rPr>
          <w:rFonts w:eastAsia="Calibri"/>
          <w:noProof/>
          <w:lang w:val="sr-Cyrl-CS"/>
        </w:rPr>
        <w:t>Службеном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гласнику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D62158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D62158">
        <w:rPr>
          <w:rFonts w:eastAsia="Calibri"/>
          <w:noProof/>
          <w:lang w:val="sr-Cyrl-CS"/>
        </w:rPr>
        <w:t>“.</w:t>
      </w:r>
    </w:p>
    <w:p w:rsidR="00D62158" w:rsidRPr="00D62158" w:rsidRDefault="00D62158" w:rsidP="00D62158">
      <w:pPr>
        <w:ind w:left="0" w:firstLine="0"/>
        <w:rPr>
          <w:rFonts w:eastAsia="Calibri"/>
          <w:noProof/>
          <w:lang w:val="sr-Cyrl-CS"/>
        </w:rPr>
      </w:pPr>
    </w:p>
    <w:p w:rsidR="00D62158" w:rsidRPr="00D62158" w:rsidRDefault="00D62158" w:rsidP="00D62158">
      <w:pPr>
        <w:ind w:left="0" w:firstLine="0"/>
        <w:rPr>
          <w:rFonts w:eastAsia="Calibri"/>
          <w:noProof/>
          <w:lang w:val="sr-Cyrl-CS"/>
        </w:rPr>
      </w:pPr>
    </w:p>
    <w:p w:rsidR="00D62158" w:rsidRPr="00D62158" w:rsidRDefault="00D62158" w:rsidP="00D62158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rFonts w:eastAsia="Calibri"/>
          <w:noProof/>
          <w:lang w:val="sr-Cyrl-CS" w:eastAsia="sr-Latn-RS"/>
        </w:rPr>
      </w:pPr>
      <w:r>
        <w:rPr>
          <w:rFonts w:eastAsia="Calibri"/>
          <w:noProof/>
          <w:lang w:val="sr-Cyrl-CS" w:eastAsia="sr-Latn-RS"/>
        </w:rPr>
        <w:t>Број</w:t>
      </w:r>
      <w:r w:rsidRPr="00D62158">
        <w:rPr>
          <w:rFonts w:eastAsia="Calibri"/>
          <w:noProof/>
          <w:lang w:val="sr-Cyrl-CS" w:eastAsia="sr-Latn-RS"/>
        </w:rPr>
        <w:t>: 02/1-021-</w:t>
      </w:r>
      <w:r w:rsidR="0027021F">
        <w:rPr>
          <w:rFonts w:eastAsia="Calibri"/>
          <w:noProof/>
          <w:lang w:eastAsia="sr-Latn-RS"/>
        </w:rPr>
        <w:t>171</w:t>
      </w:r>
      <w:r w:rsidRPr="00D62158">
        <w:rPr>
          <w:rFonts w:eastAsia="Calibri"/>
          <w:noProof/>
          <w:lang w:val="sr-Cyrl-CS" w:eastAsia="sr-Latn-RS"/>
        </w:rPr>
        <w:t>/20</w:t>
      </w:r>
      <w:r w:rsidRPr="00D62158">
        <w:rPr>
          <w:rFonts w:eastAsia="Calibri"/>
          <w:noProof/>
          <w:lang w:val="sr-Cyrl-CS" w:eastAsia="sr-Latn-RS"/>
        </w:rPr>
        <w:tab/>
      </w:r>
      <w:r>
        <w:rPr>
          <w:rFonts w:eastAsia="Calibri"/>
          <w:noProof/>
          <w:lang w:val="sr-Cyrl-CS" w:eastAsia="sr-Latn-RS"/>
        </w:rPr>
        <w:t>ПРЕДСЈЕДНИК</w:t>
      </w:r>
    </w:p>
    <w:p w:rsidR="00D62158" w:rsidRPr="00D62158" w:rsidRDefault="00D62158" w:rsidP="00D62158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rFonts w:eastAsia="Calibri"/>
          <w:noProof/>
          <w:lang w:val="sr-Cyrl-CS" w:eastAsia="sr-Latn-RS"/>
        </w:rPr>
      </w:pPr>
      <w:r>
        <w:rPr>
          <w:rFonts w:eastAsia="Calibri"/>
          <w:noProof/>
          <w:lang w:val="sr-Cyrl-CS" w:eastAsia="sr-Latn-RS"/>
        </w:rPr>
        <w:t>Датум</w:t>
      </w:r>
      <w:r w:rsidRPr="00D62158">
        <w:rPr>
          <w:rFonts w:eastAsia="Calibri"/>
          <w:noProof/>
          <w:lang w:val="sr-Cyrl-CS" w:eastAsia="sr-Latn-RS"/>
        </w:rPr>
        <w:t xml:space="preserve">: 20. </w:t>
      </w:r>
      <w:r>
        <w:rPr>
          <w:rFonts w:eastAsia="Calibri"/>
          <w:noProof/>
          <w:lang w:val="sr-Cyrl-CS" w:eastAsia="sr-Latn-RS"/>
        </w:rPr>
        <w:t>фебруар</w:t>
      </w:r>
      <w:r w:rsidRPr="00D62158">
        <w:rPr>
          <w:rFonts w:eastAsia="Calibri"/>
          <w:noProof/>
          <w:lang w:val="sr-Cyrl-CS" w:eastAsia="sr-Latn-RS"/>
        </w:rPr>
        <w:t xml:space="preserve"> 2020. </w:t>
      </w:r>
      <w:r>
        <w:rPr>
          <w:rFonts w:eastAsia="Calibri"/>
          <w:noProof/>
          <w:lang w:val="sr-Cyrl-CS" w:eastAsia="sr-Latn-RS"/>
        </w:rPr>
        <w:t>године</w:t>
      </w:r>
      <w:r w:rsidRPr="00D62158">
        <w:rPr>
          <w:rFonts w:eastAsia="Calibri"/>
          <w:noProof/>
          <w:lang w:val="sr-Cyrl-CS" w:eastAsia="sr-Latn-RS"/>
        </w:rPr>
        <w:tab/>
      </w:r>
      <w:r>
        <w:rPr>
          <w:rFonts w:eastAsia="Calibri"/>
          <w:noProof/>
          <w:lang w:val="sr-Cyrl-CS" w:eastAsia="sr-Latn-RS"/>
        </w:rPr>
        <w:t>НАРОДНЕ</w:t>
      </w:r>
      <w:r w:rsidRPr="00D62158">
        <w:rPr>
          <w:rFonts w:eastAsia="Calibri"/>
          <w:noProof/>
          <w:lang w:val="sr-Cyrl-CS" w:eastAsia="sr-Latn-RS"/>
        </w:rPr>
        <w:t xml:space="preserve"> </w:t>
      </w:r>
      <w:r>
        <w:rPr>
          <w:rFonts w:eastAsia="Calibri"/>
          <w:noProof/>
          <w:lang w:val="sr-Cyrl-CS" w:eastAsia="sr-Latn-RS"/>
        </w:rPr>
        <w:t>СКУПШТИНЕ</w:t>
      </w:r>
    </w:p>
    <w:p w:rsidR="00D62158" w:rsidRPr="00D62158" w:rsidRDefault="00D62158" w:rsidP="00D62158">
      <w:pPr>
        <w:autoSpaceDE w:val="0"/>
        <w:autoSpaceDN w:val="0"/>
        <w:adjustRightInd w:val="0"/>
        <w:rPr>
          <w:rFonts w:eastAsia="Calibri"/>
          <w:noProof/>
          <w:lang w:val="sr-Cyrl-CS" w:eastAsia="sr-Latn-R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  <w:r w:rsidRPr="00D62158">
        <w:rPr>
          <w:rFonts w:eastAsia="Calibri"/>
          <w:noProof/>
          <w:lang w:val="sr-Cyrl-CS" w:eastAsia="sr-Latn-RS"/>
        </w:rPr>
        <w:tab/>
        <w:t xml:space="preserve">                                                                                       </w:t>
      </w:r>
      <w:r>
        <w:rPr>
          <w:rFonts w:eastAsia="Calibri"/>
          <w:noProof/>
          <w:lang w:val="sr-Cyrl-CS" w:eastAsia="sr-Latn-RS"/>
        </w:rPr>
        <w:t>Недељко</w:t>
      </w:r>
      <w:r w:rsidRPr="00D62158">
        <w:rPr>
          <w:rFonts w:eastAsia="Calibri"/>
          <w:noProof/>
          <w:lang w:val="sr-Cyrl-CS" w:eastAsia="sr-Latn-RS"/>
        </w:rPr>
        <w:t xml:space="preserve"> </w:t>
      </w:r>
      <w:r>
        <w:rPr>
          <w:rFonts w:eastAsia="Calibri"/>
          <w:noProof/>
          <w:lang w:val="sr-Cyrl-CS" w:eastAsia="sr-Latn-RS"/>
        </w:rPr>
        <w:t>Чубриловић</w:t>
      </w: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D62158" w:rsidRPr="00D62158" w:rsidRDefault="00D62158" w:rsidP="00D62158">
      <w:pPr>
        <w:tabs>
          <w:tab w:val="left" w:pos="851"/>
        </w:tabs>
        <w:autoSpaceDE w:val="0"/>
        <w:autoSpaceDN w:val="0"/>
        <w:adjustRightInd w:val="0"/>
        <w:ind w:left="0" w:firstLine="360"/>
        <w:jc w:val="center"/>
        <w:rPr>
          <w:b/>
          <w:noProof/>
          <w:lang w:val="sr-Cyrl-CS"/>
        </w:rPr>
      </w:pPr>
    </w:p>
    <w:p w:rsidR="00EF54C5" w:rsidRPr="00D62158" w:rsidRDefault="00EF54C5">
      <w:pPr>
        <w:rPr>
          <w:noProof/>
          <w:lang w:val="sr-Cyrl-CS"/>
        </w:rPr>
      </w:pPr>
    </w:p>
    <w:sectPr w:rsidR="00EF54C5" w:rsidRPr="00D62158" w:rsidSect="003F6430">
      <w:footerReference w:type="even" r:id="rId9"/>
      <w:pgSz w:w="11907" w:h="16840" w:code="9"/>
      <w:pgMar w:top="1417" w:right="1417" w:bottom="1417" w:left="1417" w:header="561" w:footer="50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DBB" w:rsidRDefault="00585DBB">
      <w:r>
        <w:separator/>
      </w:r>
    </w:p>
  </w:endnote>
  <w:endnote w:type="continuationSeparator" w:id="0">
    <w:p w:rsidR="00585DBB" w:rsidRDefault="0058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95F" w:rsidRDefault="00D62158" w:rsidP="007943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195F" w:rsidRDefault="00585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DBB" w:rsidRDefault="00585DBB">
      <w:r>
        <w:separator/>
      </w:r>
    </w:p>
  </w:footnote>
  <w:footnote w:type="continuationSeparator" w:id="0">
    <w:p w:rsidR="00585DBB" w:rsidRDefault="00585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32EE"/>
    <w:multiLevelType w:val="hybridMultilevel"/>
    <w:tmpl w:val="4EFA5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55DEF"/>
    <w:multiLevelType w:val="hybridMultilevel"/>
    <w:tmpl w:val="B6C8C35C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D652E"/>
    <w:multiLevelType w:val="hybridMultilevel"/>
    <w:tmpl w:val="92684E74"/>
    <w:lvl w:ilvl="0" w:tplc="1A768E24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E1"/>
    <w:rsid w:val="0027021F"/>
    <w:rsid w:val="00585DBB"/>
    <w:rsid w:val="00BA05C7"/>
    <w:rsid w:val="00CF2EE1"/>
    <w:rsid w:val="00D62158"/>
    <w:rsid w:val="00E719C4"/>
    <w:rsid w:val="00ED61D8"/>
    <w:rsid w:val="00EF54C5"/>
    <w:rsid w:val="00F9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58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215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D621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D6215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D621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D62158"/>
  </w:style>
  <w:style w:type="paragraph" w:styleId="NoSpacing">
    <w:name w:val="No Spacing"/>
    <w:qFormat/>
    <w:rsid w:val="00D62158"/>
    <w:pPr>
      <w:spacing w:after="0" w:line="240" w:lineRule="auto"/>
      <w:ind w:left="720" w:firstLine="357"/>
      <w:jc w:val="both"/>
    </w:pPr>
    <w:rPr>
      <w:rFonts w:ascii="Calibri" w:eastAsia="Times New Roman" w:hAnsi="Calibri" w:cs="Times New Roman"/>
      <w:lang w:val="bs-Latn-BA" w:eastAsia="bs-Latn-BA"/>
    </w:rPr>
  </w:style>
  <w:style w:type="paragraph" w:customStyle="1" w:styleId="CM14">
    <w:name w:val="CM14"/>
    <w:basedOn w:val="Normal"/>
    <w:next w:val="Normal"/>
    <w:uiPriority w:val="99"/>
    <w:rsid w:val="00D62158"/>
    <w:pPr>
      <w:widowControl w:val="0"/>
      <w:autoSpaceDE w:val="0"/>
      <w:autoSpaceDN w:val="0"/>
      <w:adjustRightInd w:val="0"/>
      <w:ind w:firstLine="0"/>
      <w:jc w:val="left"/>
    </w:pPr>
    <w:rPr>
      <w:lang w:val="hr-HR" w:eastAsia="hr-HR"/>
    </w:rPr>
  </w:style>
  <w:style w:type="paragraph" w:customStyle="1" w:styleId="CM6">
    <w:name w:val="CM6"/>
    <w:basedOn w:val="Normal"/>
    <w:next w:val="Normal"/>
    <w:uiPriority w:val="99"/>
    <w:rsid w:val="00D62158"/>
    <w:pPr>
      <w:widowControl w:val="0"/>
      <w:autoSpaceDE w:val="0"/>
      <w:autoSpaceDN w:val="0"/>
      <w:adjustRightInd w:val="0"/>
      <w:spacing w:line="416" w:lineRule="atLeast"/>
      <w:ind w:firstLine="0"/>
      <w:jc w:val="left"/>
    </w:pPr>
    <w:rPr>
      <w:lang w:val="hr-HR" w:eastAsia="hr-HR"/>
    </w:rPr>
  </w:style>
  <w:style w:type="paragraph" w:customStyle="1" w:styleId="CM7">
    <w:name w:val="CM7"/>
    <w:basedOn w:val="Normal"/>
    <w:next w:val="Normal"/>
    <w:uiPriority w:val="99"/>
    <w:rsid w:val="00D62158"/>
    <w:pPr>
      <w:widowControl w:val="0"/>
      <w:autoSpaceDE w:val="0"/>
      <w:autoSpaceDN w:val="0"/>
      <w:adjustRightInd w:val="0"/>
      <w:spacing w:line="276" w:lineRule="atLeast"/>
      <w:ind w:firstLine="0"/>
      <w:jc w:val="left"/>
    </w:pPr>
    <w:rPr>
      <w:lang w:val="hr-HR" w:eastAsia="hr-HR"/>
    </w:rPr>
  </w:style>
  <w:style w:type="paragraph" w:styleId="ListParagraph">
    <w:name w:val="List Paragraph"/>
    <w:basedOn w:val="Normal"/>
    <w:qFormat/>
    <w:rsid w:val="00D62158"/>
    <w:pPr>
      <w:ind w:firstLine="0"/>
      <w:jc w:val="left"/>
    </w:pPr>
  </w:style>
  <w:style w:type="character" w:styleId="CommentReference">
    <w:name w:val="annotation reference"/>
    <w:rsid w:val="00D62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621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21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62158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D62158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rsid w:val="00D6215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D6215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D62158"/>
    <w:pPr>
      <w:autoSpaceDE w:val="0"/>
      <w:autoSpaceDN w:val="0"/>
      <w:adjustRightInd w:val="0"/>
      <w:spacing w:after="0" w:line="240" w:lineRule="auto"/>
      <w:ind w:left="720" w:firstLine="601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48">
    <w:name w:val="Font Style48"/>
    <w:rsid w:val="00D62158"/>
    <w:rPr>
      <w:rFonts w:ascii="Times New Roman" w:hAnsi="Times New Roman" w:cs="Times New Roman"/>
      <w:sz w:val="16"/>
      <w:szCs w:val="16"/>
    </w:rPr>
  </w:style>
  <w:style w:type="paragraph" w:styleId="Revision">
    <w:name w:val="Revision"/>
    <w:hidden/>
    <w:uiPriority w:val="99"/>
    <w:semiHidden/>
    <w:rsid w:val="00D6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D62158"/>
    <w:pPr>
      <w:ind w:left="0" w:firstLine="0"/>
      <w:jc w:val="left"/>
    </w:pPr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rsid w:val="00D62158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-E Fußnotenzeichen,BVI fnr,f,ftref,16 Point"/>
    <w:link w:val="Tablica1"/>
    <w:qFormat/>
    <w:rsid w:val="00D62158"/>
    <w:rPr>
      <w:vertAlign w:val="superscript"/>
    </w:rPr>
  </w:style>
  <w:style w:type="character" w:styleId="Emphasis">
    <w:name w:val="Emphasis"/>
    <w:uiPriority w:val="20"/>
    <w:qFormat/>
    <w:rsid w:val="00D62158"/>
    <w:rPr>
      <w:i/>
      <w:iCs/>
    </w:rPr>
  </w:style>
  <w:style w:type="paragraph" w:customStyle="1" w:styleId="Tablica1">
    <w:name w:val="Tablica 1"/>
    <w:basedOn w:val="Normal"/>
    <w:link w:val="FootnoteReference"/>
    <w:autoRedefine/>
    <w:qFormat/>
    <w:rsid w:val="00D62158"/>
    <w:pPr>
      <w:spacing w:after="160" w:line="240" w:lineRule="exact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Hyperlink">
    <w:name w:val="Hyperlink"/>
    <w:uiPriority w:val="99"/>
    <w:unhideWhenUsed/>
    <w:rsid w:val="00D621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58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215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D621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D6215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D621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D62158"/>
  </w:style>
  <w:style w:type="paragraph" w:styleId="NoSpacing">
    <w:name w:val="No Spacing"/>
    <w:qFormat/>
    <w:rsid w:val="00D62158"/>
    <w:pPr>
      <w:spacing w:after="0" w:line="240" w:lineRule="auto"/>
      <w:ind w:left="720" w:firstLine="357"/>
      <w:jc w:val="both"/>
    </w:pPr>
    <w:rPr>
      <w:rFonts w:ascii="Calibri" w:eastAsia="Times New Roman" w:hAnsi="Calibri" w:cs="Times New Roman"/>
      <w:lang w:val="bs-Latn-BA" w:eastAsia="bs-Latn-BA"/>
    </w:rPr>
  </w:style>
  <w:style w:type="paragraph" w:customStyle="1" w:styleId="CM14">
    <w:name w:val="CM14"/>
    <w:basedOn w:val="Normal"/>
    <w:next w:val="Normal"/>
    <w:uiPriority w:val="99"/>
    <w:rsid w:val="00D62158"/>
    <w:pPr>
      <w:widowControl w:val="0"/>
      <w:autoSpaceDE w:val="0"/>
      <w:autoSpaceDN w:val="0"/>
      <w:adjustRightInd w:val="0"/>
      <w:ind w:firstLine="0"/>
      <w:jc w:val="left"/>
    </w:pPr>
    <w:rPr>
      <w:lang w:val="hr-HR" w:eastAsia="hr-HR"/>
    </w:rPr>
  </w:style>
  <w:style w:type="paragraph" w:customStyle="1" w:styleId="CM6">
    <w:name w:val="CM6"/>
    <w:basedOn w:val="Normal"/>
    <w:next w:val="Normal"/>
    <w:uiPriority w:val="99"/>
    <w:rsid w:val="00D62158"/>
    <w:pPr>
      <w:widowControl w:val="0"/>
      <w:autoSpaceDE w:val="0"/>
      <w:autoSpaceDN w:val="0"/>
      <w:adjustRightInd w:val="0"/>
      <w:spacing w:line="416" w:lineRule="atLeast"/>
      <w:ind w:firstLine="0"/>
      <w:jc w:val="left"/>
    </w:pPr>
    <w:rPr>
      <w:lang w:val="hr-HR" w:eastAsia="hr-HR"/>
    </w:rPr>
  </w:style>
  <w:style w:type="paragraph" w:customStyle="1" w:styleId="CM7">
    <w:name w:val="CM7"/>
    <w:basedOn w:val="Normal"/>
    <w:next w:val="Normal"/>
    <w:uiPriority w:val="99"/>
    <w:rsid w:val="00D62158"/>
    <w:pPr>
      <w:widowControl w:val="0"/>
      <w:autoSpaceDE w:val="0"/>
      <w:autoSpaceDN w:val="0"/>
      <w:adjustRightInd w:val="0"/>
      <w:spacing w:line="276" w:lineRule="atLeast"/>
      <w:ind w:firstLine="0"/>
      <w:jc w:val="left"/>
    </w:pPr>
    <w:rPr>
      <w:lang w:val="hr-HR" w:eastAsia="hr-HR"/>
    </w:rPr>
  </w:style>
  <w:style w:type="paragraph" w:styleId="ListParagraph">
    <w:name w:val="List Paragraph"/>
    <w:basedOn w:val="Normal"/>
    <w:qFormat/>
    <w:rsid w:val="00D62158"/>
    <w:pPr>
      <w:ind w:firstLine="0"/>
      <w:jc w:val="left"/>
    </w:pPr>
  </w:style>
  <w:style w:type="character" w:styleId="CommentReference">
    <w:name w:val="annotation reference"/>
    <w:rsid w:val="00D62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621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21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62158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D62158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rsid w:val="00D6215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D6215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D62158"/>
    <w:pPr>
      <w:autoSpaceDE w:val="0"/>
      <w:autoSpaceDN w:val="0"/>
      <w:adjustRightInd w:val="0"/>
      <w:spacing w:after="0" w:line="240" w:lineRule="auto"/>
      <w:ind w:left="720" w:firstLine="601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48">
    <w:name w:val="Font Style48"/>
    <w:rsid w:val="00D62158"/>
    <w:rPr>
      <w:rFonts w:ascii="Times New Roman" w:hAnsi="Times New Roman" w:cs="Times New Roman"/>
      <w:sz w:val="16"/>
      <w:szCs w:val="16"/>
    </w:rPr>
  </w:style>
  <w:style w:type="paragraph" w:styleId="Revision">
    <w:name w:val="Revision"/>
    <w:hidden/>
    <w:uiPriority w:val="99"/>
    <w:semiHidden/>
    <w:rsid w:val="00D62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D62158"/>
    <w:pPr>
      <w:ind w:left="0" w:firstLine="0"/>
      <w:jc w:val="left"/>
    </w:pPr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rsid w:val="00D62158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-E Fußnotenzeichen,BVI fnr,f,ftref,16 Point"/>
    <w:link w:val="Tablica1"/>
    <w:qFormat/>
    <w:rsid w:val="00D62158"/>
    <w:rPr>
      <w:vertAlign w:val="superscript"/>
    </w:rPr>
  </w:style>
  <w:style w:type="character" w:styleId="Emphasis">
    <w:name w:val="Emphasis"/>
    <w:uiPriority w:val="20"/>
    <w:qFormat/>
    <w:rsid w:val="00D62158"/>
    <w:rPr>
      <w:i/>
      <w:iCs/>
    </w:rPr>
  </w:style>
  <w:style w:type="paragraph" w:customStyle="1" w:styleId="Tablica1">
    <w:name w:val="Tablica 1"/>
    <w:basedOn w:val="Normal"/>
    <w:link w:val="FootnoteReference"/>
    <w:autoRedefine/>
    <w:qFormat/>
    <w:rsid w:val="00D62158"/>
    <w:pPr>
      <w:spacing w:after="160" w:line="240" w:lineRule="exact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Hyperlink">
    <w:name w:val="Hyperlink"/>
    <w:uiPriority w:val="99"/>
    <w:unhideWhenUsed/>
    <w:rsid w:val="00D621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C0F6-A5D2-4032-A19B-06295EF7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milicaC</cp:lastModifiedBy>
  <cp:revision>2</cp:revision>
  <dcterms:created xsi:type="dcterms:W3CDTF">2020-07-07T11:24:00Z</dcterms:created>
  <dcterms:modified xsi:type="dcterms:W3CDTF">2020-07-07T11:24:00Z</dcterms:modified>
</cp:coreProperties>
</file>